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22106" w14:textId="10B6889D" w:rsidR="000D4977" w:rsidRPr="006D3178" w:rsidRDefault="006D3178" w:rsidP="006D3178">
      <w:pPr>
        <w:jc w:val="center"/>
        <w:rPr>
          <w:rFonts w:asciiTheme="majorHAnsi" w:eastAsiaTheme="majorEastAsia" w:hAnsi="Calibri" w:cstheme="majorBidi"/>
          <w:color w:val="3333CC"/>
          <w:kern w:val="24"/>
          <w:sz w:val="28"/>
          <w:szCs w:val="28"/>
        </w:rPr>
      </w:pPr>
      <w:r w:rsidRPr="006D3178">
        <w:rPr>
          <w:rFonts w:asciiTheme="majorHAnsi" w:eastAsiaTheme="majorEastAsia" w:hAnsi="Calibri" w:cstheme="majorBidi"/>
          <w:color w:val="3333CC"/>
          <w:kern w:val="24"/>
          <w:sz w:val="28"/>
          <w:szCs w:val="28"/>
        </w:rPr>
        <w:t>Topic Choices for Grad Projects</w:t>
      </w:r>
      <w:r w:rsidR="00075D1B">
        <w:rPr>
          <w:rFonts w:asciiTheme="majorHAnsi" w:eastAsiaTheme="majorEastAsia" w:hAnsi="Calibri" w:cstheme="majorBidi"/>
          <w:color w:val="3333CC"/>
          <w:kern w:val="24"/>
          <w:sz w:val="28"/>
          <w:szCs w:val="28"/>
        </w:rPr>
        <w:t xml:space="preserve"> 202</w:t>
      </w:r>
      <w:r w:rsidR="00E92DF4">
        <w:rPr>
          <w:rFonts w:asciiTheme="majorHAnsi" w:eastAsiaTheme="majorEastAsia" w:hAnsi="Calibri" w:cstheme="majorBidi"/>
          <w:color w:val="3333CC"/>
          <w:kern w:val="24"/>
          <w:sz w:val="28"/>
          <w:szCs w:val="28"/>
        </w:rPr>
        <w:t>4</w:t>
      </w:r>
    </w:p>
    <w:p w14:paraId="2FF2ECB7" w14:textId="371C77E0" w:rsidR="00625758" w:rsidRPr="00E92DF4" w:rsidRDefault="00625758" w:rsidP="00E92DF4">
      <w:pPr>
        <w:pStyle w:val="NormalWeb"/>
        <w:spacing w:before="0" w:beforeAutospacing="0" w:afterAutospacing="0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1. Quantifying the future lethality of terror organizations, Y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Yang, A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R Pah, B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Uzzi, </w:t>
      </w:r>
      <w:r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>Proc. the Nat. Acad. of Sci.</w:t>
      </w:r>
      <w:r w:rsidRPr="00E92DF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16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(43):21463–</w:t>
      </w:r>
      <w:r w:rsidR="007E0BFB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214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68 (2019) </w:t>
      </w:r>
    </w:p>
    <w:p w14:paraId="03567DE1" w14:textId="5751AF34" w:rsidR="00625758" w:rsidRPr="00E92DF4" w:rsidRDefault="00625758" w:rsidP="00E92DF4">
      <w:pPr>
        <w:pStyle w:val="NormalWeb"/>
        <w:spacing w:before="0" w:beforeAutospacing="0" w:afterAutospacing="0"/>
        <w:rPr>
          <w:sz w:val="22"/>
          <w:szCs w:val="22"/>
        </w:rPr>
      </w:pP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2. The universal decay of collective memory and attention, C. Candia, C. Jara-Figueroa, C. Rodriguez-Sickert, A.-L. Barabási, C. A Hidalgo, </w:t>
      </w:r>
      <w:r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>Na</w:t>
      </w:r>
      <w:r w:rsidR="007E0BFB"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>t.</w:t>
      </w:r>
      <w:r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 xml:space="preserve"> Hum</w:t>
      </w:r>
      <w:r w:rsidR="007E0BFB"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>Behav</w:t>
      </w:r>
      <w:proofErr w:type="spellEnd"/>
      <w:r w:rsidR="007E0BFB"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Pr="00E92DF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3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:82–91 (2019) </w:t>
      </w:r>
    </w:p>
    <w:p w14:paraId="7335FB84" w14:textId="67EF3A20" w:rsidR="00EA3557" w:rsidRPr="00E92DF4" w:rsidRDefault="00625758" w:rsidP="00E92DF4">
      <w:pPr>
        <w:spacing w:after="100"/>
        <w:rPr>
          <w:rFonts w:eastAsiaTheme="minorEastAsia" w:hAnsi="Calibri"/>
          <w:color w:val="000000" w:themeColor="text1"/>
          <w:kern w:val="24"/>
        </w:rPr>
      </w:pPr>
      <w:r w:rsidRPr="00E92DF4">
        <w:rPr>
          <w:rFonts w:eastAsiaTheme="minorEastAsia" w:hAnsi="Calibri"/>
          <w:color w:val="000000" w:themeColor="text1"/>
          <w:kern w:val="24"/>
        </w:rPr>
        <w:t xml:space="preserve">3. Quantifying reputation and success in art, </w:t>
      </w:r>
      <w:r w:rsidR="00D41E1C" w:rsidRPr="00E92DF4">
        <w:rPr>
          <w:rFonts w:eastAsiaTheme="minorEastAsia" w:hAnsi="Calibri"/>
          <w:color w:val="000000" w:themeColor="text1"/>
          <w:kern w:val="24"/>
        </w:rPr>
        <w:t>S.</w:t>
      </w:r>
      <w:r w:rsidRPr="00E92DF4">
        <w:rPr>
          <w:rFonts w:eastAsiaTheme="minorEastAsia" w:hAnsi="Calibri"/>
          <w:color w:val="000000" w:themeColor="text1"/>
          <w:kern w:val="24"/>
        </w:rPr>
        <w:t xml:space="preserve">P. </w:t>
      </w:r>
      <w:proofErr w:type="spellStart"/>
      <w:r w:rsidRPr="00E92DF4">
        <w:rPr>
          <w:rFonts w:eastAsiaTheme="minorEastAsia" w:hAnsi="Calibri"/>
          <w:color w:val="000000" w:themeColor="text1"/>
          <w:kern w:val="24"/>
        </w:rPr>
        <w:t>Fraiberger</w:t>
      </w:r>
      <w:proofErr w:type="spellEnd"/>
      <w:r w:rsidRPr="00E92DF4">
        <w:rPr>
          <w:rFonts w:eastAsiaTheme="minorEastAsia" w:hAnsi="Calibri"/>
          <w:color w:val="000000" w:themeColor="text1"/>
          <w:kern w:val="24"/>
        </w:rPr>
        <w:t>, R</w:t>
      </w:r>
      <w:r w:rsidR="00D41E1C" w:rsidRPr="00E92DF4">
        <w:rPr>
          <w:rFonts w:eastAsiaTheme="minorEastAsia" w:hAnsi="Calibri"/>
          <w:color w:val="000000" w:themeColor="text1"/>
          <w:kern w:val="24"/>
        </w:rPr>
        <w:t>.</w:t>
      </w:r>
      <w:r w:rsidRPr="00E92DF4">
        <w:rPr>
          <w:rFonts w:eastAsiaTheme="minorEastAsia" w:hAnsi="Calibri"/>
          <w:color w:val="000000" w:themeColor="text1"/>
          <w:kern w:val="24"/>
        </w:rPr>
        <w:t xml:space="preserve"> Sinatra, M</w:t>
      </w:r>
      <w:r w:rsidR="00D41E1C" w:rsidRPr="00E92DF4">
        <w:rPr>
          <w:rFonts w:eastAsiaTheme="minorEastAsia" w:hAnsi="Calibri"/>
          <w:color w:val="000000" w:themeColor="text1"/>
          <w:kern w:val="24"/>
        </w:rPr>
        <w:t>.</w:t>
      </w:r>
      <w:r w:rsidRPr="00E92DF4">
        <w:rPr>
          <w:rFonts w:eastAsiaTheme="minorEastAsia" w:hAnsi="Calibri"/>
          <w:color w:val="000000" w:themeColor="text1"/>
          <w:kern w:val="24"/>
        </w:rPr>
        <w:t xml:space="preserve"> Resch, C</w:t>
      </w:r>
      <w:r w:rsidR="00D41E1C" w:rsidRPr="00E92DF4">
        <w:rPr>
          <w:rFonts w:eastAsiaTheme="minorEastAsia" w:hAnsi="Calibri"/>
          <w:color w:val="000000" w:themeColor="text1"/>
          <w:kern w:val="24"/>
        </w:rPr>
        <w:t>.</w:t>
      </w:r>
      <w:r w:rsidRPr="00E92DF4">
        <w:rPr>
          <w:rFonts w:eastAsiaTheme="minorEastAsia" w:hAnsi="Calibri"/>
          <w:color w:val="000000" w:themeColor="text1"/>
          <w:kern w:val="24"/>
        </w:rPr>
        <w:t xml:space="preserve"> Riedl, A</w:t>
      </w:r>
      <w:r w:rsidR="00D41E1C" w:rsidRPr="00E92DF4">
        <w:rPr>
          <w:rFonts w:eastAsiaTheme="minorEastAsia" w:hAnsi="Calibri"/>
          <w:color w:val="000000" w:themeColor="text1"/>
          <w:kern w:val="24"/>
        </w:rPr>
        <w:t>.</w:t>
      </w:r>
      <w:r w:rsidRPr="00E92DF4">
        <w:rPr>
          <w:rFonts w:eastAsiaTheme="minorEastAsia" w:hAnsi="Calibri"/>
          <w:color w:val="000000" w:themeColor="text1"/>
          <w:kern w:val="24"/>
        </w:rPr>
        <w:t>-L</w:t>
      </w:r>
      <w:r w:rsidR="00D41E1C" w:rsidRPr="00E92DF4">
        <w:rPr>
          <w:rFonts w:eastAsiaTheme="minorEastAsia" w:hAnsi="Calibri"/>
          <w:color w:val="000000" w:themeColor="text1"/>
          <w:kern w:val="24"/>
        </w:rPr>
        <w:t>.</w:t>
      </w:r>
      <w:r w:rsidRPr="00E92DF4">
        <w:rPr>
          <w:rFonts w:eastAsiaTheme="minorEastAsia" w:hAnsi="Calibri"/>
          <w:color w:val="000000" w:themeColor="text1"/>
          <w:kern w:val="24"/>
        </w:rPr>
        <w:t xml:space="preserve"> Barabási, </w:t>
      </w:r>
      <w:r w:rsidRPr="00E92DF4">
        <w:rPr>
          <w:rFonts w:eastAsiaTheme="minorEastAsia" w:hAnsi="Calibri"/>
          <w:i/>
          <w:iCs/>
          <w:color w:val="000000" w:themeColor="text1"/>
          <w:kern w:val="24"/>
        </w:rPr>
        <w:t xml:space="preserve">Science, </w:t>
      </w:r>
      <w:r w:rsidRPr="00E92DF4">
        <w:rPr>
          <w:rFonts w:eastAsiaTheme="minorEastAsia" w:hAnsi="Calibri"/>
          <w:b/>
          <w:bCs/>
          <w:color w:val="000000" w:themeColor="text1"/>
          <w:kern w:val="24"/>
        </w:rPr>
        <w:t>362</w:t>
      </w:r>
      <w:r w:rsidRPr="00E92DF4">
        <w:rPr>
          <w:rFonts w:eastAsiaTheme="minorEastAsia" w:hAnsi="Calibri"/>
          <w:color w:val="000000" w:themeColor="text1"/>
          <w:kern w:val="24"/>
        </w:rPr>
        <w:t>:825–829 (2018</w:t>
      </w:r>
      <w:r w:rsidR="00EA3557" w:rsidRPr="00E92DF4">
        <w:rPr>
          <w:rFonts w:eastAsiaTheme="minorEastAsia" w:hAnsi="Calibri"/>
          <w:color w:val="000000" w:themeColor="text1"/>
          <w:kern w:val="24"/>
        </w:rPr>
        <w:t xml:space="preserve">) </w:t>
      </w:r>
    </w:p>
    <w:p w14:paraId="1A38FCD6" w14:textId="10A19E02" w:rsidR="00625758" w:rsidRPr="00E92DF4" w:rsidRDefault="00625758" w:rsidP="00E92DF4">
      <w:pPr>
        <w:pStyle w:val="NormalWeb"/>
        <w:spacing w:before="0" w:beforeAutospacing="0" w:afterAutospacing="0"/>
        <w:rPr>
          <w:color w:val="0000FF"/>
          <w:sz w:val="22"/>
          <w:szCs w:val="22"/>
        </w:rPr>
      </w:pP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4. Experimental evidence for tipping points in social convention, D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Centola, J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Becker, D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Brackbill, A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Baronchelli</w:t>
      </w:r>
      <w:proofErr w:type="spellEnd"/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, </w:t>
      </w:r>
      <w:r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>Science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, </w:t>
      </w:r>
      <w:r w:rsidRPr="00E92DF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360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:1116–1119 (2018) </w:t>
      </w:r>
    </w:p>
    <w:p w14:paraId="174868D3" w14:textId="1AFD7F1F" w:rsidR="00625758" w:rsidRPr="00E92DF4" w:rsidRDefault="00625758" w:rsidP="00E92DF4">
      <w:pPr>
        <w:pStyle w:val="NormalWeb"/>
        <w:spacing w:before="0" w:beforeAutospacing="0" w:afterAutospacing="0"/>
        <w:rPr>
          <w:sz w:val="22"/>
          <w:szCs w:val="22"/>
        </w:rPr>
      </w:pP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5. Scientific prize network predicts who pushes the boundaries of science, Y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Ma, B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Uzzi,</w:t>
      </w:r>
      <w:r w:rsidR="00D41E1C"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 xml:space="preserve"> Proc. the Nat. Acad. of Sci., </w:t>
      </w:r>
      <w:r w:rsidRPr="00E92DF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115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(50):12608-12615 (2018) </w:t>
      </w:r>
    </w:p>
    <w:p w14:paraId="4FEA1A47" w14:textId="689770E8" w:rsidR="00625758" w:rsidRPr="00E92DF4" w:rsidRDefault="00625758" w:rsidP="00E92DF4">
      <w:pPr>
        <w:pStyle w:val="NormalWeb"/>
        <w:spacing w:before="0" w:beforeAutospacing="0" w:afterAutospacing="0"/>
        <w:rPr>
          <w:sz w:val="22"/>
          <w:szCs w:val="22"/>
        </w:rPr>
      </w:pP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6. Quantifying patterns of research-interest evolution, T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Jia, D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Wang, 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B.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K. Szymanski </w:t>
      </w:r>
      <w:r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>Nat</w:t>
      </w:r>
      <w:r w:rsidR="00D41E1C"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 xml:space="preserve"> Hum</w:t>
      </w:r>
      <w:r w:rsidR="00D41E1C"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>Behav</w:t>
      </w:r>
      <w:proofErr w:type="spellEnd"/>
      <w:r w:rsidR="00D41E1C"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 xml:space="preserve"> </w:t>
      </w:r>
      <w:r w:rsidRPr="00E92DF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1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(4):0078, (2017) </w:t>
      </w:r>
    </w:p>
    <w:p w14:paraId="62FEF566" w14:textId="28E2760E" w:rsidR="00625758" w:rsidRPr="00E92DF4" w:rsidRDefault="00625758" w:rsidP="00E92DF4">
      <w:pPr>
        <w:pStyle w:val="NormalWeb"/>
        <w:spacing w:before="0" w:beforeAutospacing="0" w:afterAutospacing="0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7. Quantifying the evolution of individual scientific impact, R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Sinatra, D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Wang, P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Deville, C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Song, A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-L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Barabási, </w:t>
      </w:r>
      <w:r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>Science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Pr="00E92DF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354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(6312):5239 (2016) </w:t>
      </w:r>
      <w:r w:rsidR="00C36CB3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</w:p>
    <w:p w14:paraId="48567237" w14:textId="27A3DCEB" w:rsidR="00625758" w:rsidRPr="00183778" w:rsidRDefault="00625758" w:rsidP="00E92DF4">
      <w:pPr>
        <w:pStyle w:val="NormalWeb"/>
        <w:spacing w:before="0" w:beforeAutospacing="0" w:afterAutospacing="0" w:line="204" w:lineRule="auto"/>
        <w:rPr>
          <w:strike/>
          <w:sz w:val="22"/>
          <w:szCs w:val="22"/>
        </w:rPr>
      </w:pPr>
      <w:r w:rsidRPr="00183778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 xml:space="preserve">8. Universal resilience patterns in complex networks, Jianxi Gao, Baruch </w:t>
      </w:r>
      <w:proofErr w:type="spellStart"/>
      <w:r w:rsidRPr="00183778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Barzel</w:t>
      </w:r>
      <w:proofErr w:type="spellEnd"/>
      <w:r w:rsidRPr="00183778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 xml:space="preserve">, Albert-László Barabási, </w:t>
      </w:r>
      <w:r w:rsidRPr="00183778">
        <w:rPr>
          <w:rFonts w:asciiTheme="minorHAnsi" w:eastAsiaTheme="minorEastAsia" w:hAnsi="Calibri" w:cstheme="minorBidi"/>
          <w:i/>
          <w:iCs/>
          <w:strike/>
          <w:color w:val="000000" w:themeColor="text1"/>
          <w:kern w:val="24"/>
          <w:sz w:val="22"/>
          <w:szCs w:val="22"/>
        </w:rPr>
        <w:t xml:space="preserve">Nature </w:t>
      </w:r>
      <w:r w:rsidRPr="00183778">
        <w:rPr>
          <w:rFonts w:asciiTheme="minorHAnsi" w:eastAsiaTheme="minorEastAsia" w:hAnsi="Calibri" w:cstheme="minorBidi"/>
          <w:b/>
          <w:bCs/>
          <w:strike/>
          <w:color w:val="000000" w:themeColor="text1"/>
          <w:kern w:val="24"/>
          <w:sz w:val="22"/>
          <w:szCs w:val="22"/>
        </w:rPr>
        <w:t>30</w:t>
      </w:r>
      <w:r w:rsidRPr="00183778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 xml:space="preserve">(7590):307 (2016) </w:t>
      </w:r>
      <w:r w:rsidR="0046387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John Cohen</w:t>
      </w:r>
    </w:p>
    <w:p w14:paraId="37689317" w14:textId="15750055" w:rsidR="00625758" w:rsidRPr="00E92DF4" w:rsidRDefault="00625758" w:rsidP="00E92DF4">
      <w:pPr>
        <w:pStyle w:val="NormalWeb"/>
        <w:spacing w:before="0" w:beforeAutospacing="0" w:afterAutospacing="0" w:line="204" w:lineRule="auto"/>
        <w:rPr>
          <w:sz w:val="22"/>
          <w:szCs w:val="22"/>
        </w:rPr>
      </w:pPr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9. Human symptoms–disease network, X</w:t>
      </w:r>
      <w:r w:rsidR="00D41E1C"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.</w:t>
      </w:r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Z</w:t>
      </w:r>
      <w:r w:rsidR="00D41E1C"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.</w:t>
      </w:r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 xml:space="preserve"> Zhou, J</w:t>
      </w:r>
      <w:r w:rsidR="00D41E1C"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.</w:t>
      </w:r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Menche</w:t>
      </w:r>
      <w:proofErr w:type="spellEnd"/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, A</w:t>
      </w:r>
      <w:r w:rsidR="00D41E1C"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.</w:t>
      </w:r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-L</w:t>
      </w:r>
      <w:r w:rsidR="00D41E1C"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.</w:t>
      </w:r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 xml:space="preserve"> Barabási, A</w:t>
      </w:r>
      <w:r w:rsidR="00D41E1C"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.</w:t>
      </w:r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 xml:space="preserve"> Sharma, </w:t>
      </w:r>
      <w:r w:rsidRPr="009B3C6B">
        <w:rPr>
          <w:rFonts w:asciiTheme="minorHAnsi" w:eastAsiaTheme="minorEastAsia" w:hAnsi="Calibri" w:cstheme="minorBidi"/>
          <w:i/>
          <w:iCs/>
          <w:strike/>
          <w:color w:val="000000" w:themeColor="text1"/>
          <w:kern w:val="24"/>
          <w:sz w:val="22"/>
          <w:szCs w:val="22"/>
        </w:rPr>
        <w:t>N</w:t>
      </w:r>
      <w:r w:rsidR="00D41E1C" w:rsidRPr="009B3C6B">
        <w:rPr>
          <w:rFonts w:asciiTheme="minorHAnsi" w:eastAsiaTheme="minorEastAsia" w:hAnsi="Calibri" w:cstheme="minorBidi"/>
          <w:i/>
          <w:iCs/>
          <w:strike/>
          <w:color w:val="000000" w:themeColor="text1"/>
          <w:kern w:val="24"/>
          <w:sz w:val="22"/>
          <w:szCs w:val="22"/>
        </w:rPr>
        <w:t>at.</w:t>
      </w:r>
      <w:r w:rsidRPr="009B3C6B">
        <w:rPr>
          <w:rFonts w:asciiTheme="minorHAnsi" w:eastAsiaTheme="minorEastAsia" w:hAnsi="Calibri" w:cstheme="minorBidi"/>
          <w:i/>
          <w:iCs/>
          <w:strike/>
          <w:color w:val="000000" w:themeColor="text1"/>
          <w:kern w:val="24"/>
          <w:sz w:val="22"/>
          <w:szCs w:val="22"/>
        </w:rPr>
        <w:t xml:space="preserve"> Com</w:t>
      </w:r>
      <w:r w:rsidR="00D41E1C" w:rsidRPr="009B3C6B">
        <w:rPr>
          <w:rFonts w:asciiTheme="minorHAnsi" w:eastAsiaTheme="minorEastAsia" w:hAnsi="Calibri" w:cstheme="minorBidi"/>
          <w:i/>
          <w:iCs/>
          <w:strike/>
          <w:color w:val="000000" w:themeColor="text1"/>
          <w:kern w:val="24"/>
          <w:sz w:val="22"/>
          <w:szCs w:val="22"/>
        </w:rPr>
        <w:t>m.</w:t>
      </w:r>
      <w:r w:rsidRPr="009B3C6B">
        <w:rPr>
          <w:rFonts w:asciiTheme="minorHAnsi" w:eastAsiaTheme="minorEastAsia" w:hAnsi="Calibri" w:cstheme="minorBidi"/>
          <w:i/>
          <w:iCs/>
          <w:strike/>
          <w:color w:val="000000" w:themeColor="text1"/>
          <w:kern w:val="24"/>
          <w:sz w:val="22"/>
          <w:szCs w:val="22"/>
        </w:rPr>
        <w:t xml:space="preserve"> </w:t>
      </w:r>
      <w:r w:rsidRPr="009B3C6B">
        <w:rPr>
          <w:rFonts w:asciiTheme="minorHAnsi" w:eastAsiaTheme="minorEastAsia" w:hAnsi="Calibri" w:cstheme="minorBidi"/>
          <w:b/>
          <w:bCs/>
          <w:strike/>
          <w:color w:val="000000" w:themeColor="text1"/>
          <w:kern w:val="24"/>
          <w:sz w:val="22"/>
          <w:szCs w:val="22"/>
        </w:rPr>
        <w:t>5</w:t>
      </w:r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(4212)</w:t>
      </w:r>
      <w:r w:rsidR="00E92DF4"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 xml:space="preserve"> </w:t>
      </w:r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(2014)</w:t>
      </w:r>
      <w:r w:rsidR="009B3C6B"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,</w:t>
      </w:r>
      <w:r w:rsidR="009B3C6B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Chari Sanjay</w:t>
      </w:r>
    </w:p>
    <w:p w14:paraId="41DFB91D" w14:textId="1EDA0DCA" w:rsidR="00625758" w:rsidRPr="00E92DF4" w:rsidRDefault="00625758" w:rsidP="00E92DF4">
      <w:pPr>
        <w:pStyle w:val="NormalWeb"/>
        <w:spacing w:before="0" w:beforeAutospacing="0" w:afterAutospacing="0" w:line="204" w:lineRule="auto"/>
        <w:rPr>
          <w:sz w:val="22"/>
          <w:szCs w:val="22"/>
        </w:rPr>
      </w:pP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10. A network framework of cultural history, M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Schich</w:t>
      </w:r>
      <w:proofErr w:type="spellEnd"/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, C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Song, Y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-Y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Ahn, A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Mirsky, M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Martino, A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-L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Barabási, </w:t>
      </w:r>
      <w:r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 xml:space="preserve">Science </w:t>
      </w:r>
      <w:r w:rsidRPr="00E92DF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 xml:space="preserve">345 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(6196):558-562 (2014) </w:t>
      </w:r>
    </w:p>
    <w:p w14:paraId="3ECD6C9F" w14:textId="7AEB6B68" w:rsidR="00625758" w:rsidRPr="00E92DF4" w:rsidRDefault="00625758" w:rsidP="00E92DF4">
      <w:pPr>
        <w:pStyle w:val="NormalWeb"/>
        <w:spacing w:before="0" w:beforeAutospacing="0" w:afterAutospacing="0" w:line="204" w:lineRule="auto"/>
        <w:rPr>
          <w:sz w:val="22"/>
          <w:szCs w:val="22"/>
        </w:rPr>
      </w:pP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11. Quantifying Long-Term Scientific Impact, D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Wang, C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Song, A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-L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Barabási, </w:t>
      </w:r>
      <w:r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 xml:space="preserve">Science </w:t>
      </w:r>
      <w:r w:rsidRPr="00E92DF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 xml:space="preserve">342 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(6154):127-132 (2013) </w:t>
      </w:r>
    </w:p>
    <w:p w14:paraId="69CCD67E" w14:textId="40936AF3" w:rsidR="00625758" w:rsidRPr="00E92DF4" w:rsidRDefault="00625758" w:rsidP="00E92DF4">
      <w:pPr>
        <w:pStyle w:val="NormalWeb"/>
        <w:spacing w:before="0" w:beforeAutospacing="0" w:afterAutospacing="0" w:line="204" w:lineRule="auto"/>
        <w:rPr>
          <w:sz w:val="22"/>
          <w:szCs w:val="22"/>
        </w:rPr>
      </w:pPr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12. A universal model for mobility and migration patterns, F</w:t>
      </w:r>
      <w:r w:rsidR="00D41E1C"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.</w:t>
      </w:r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Simini</w:t>
      </w:r>
      <w:proofErr w:type="spellEnd"/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, M</w:t>
      </w:r>
      <w:r w:rsidR="00D41E1C"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.</w:t>
      </w:r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 xml:space="preserve"> C. González, A</w:t>
      </w:r>
      <w:r w:rsidR="00D41E1C"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.</w:t>
      </w:r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Maritan</w:t>
      </w:r>
      <w:proofErr w:type="spellEnd"/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, A</w:t>
      </w:r>
      <w:r w:rsidR="00D41E1C"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.</w:t>
      </w:r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-L</w:t>
      </w:r>
      <w:r w:rsidR="00D41E1C"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.</w:t>
      </w:r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 xml:space="preserve"> Barabási, </w:t>
      </w:r>
      <w:r w:rsidRPr="009B3C6B">
        <w:rPr>
          <w:rFonts w:asciiTheme="minorHAnsi" w:eastAsiaTheme="minorEastAsia" w:hAnsi="Calibri" w:cstheme="minorBidi"/>
          <w:i/>
          <w:iCs/>
          <w:strike/>
          <w:color w:val="000000" w:themeColor="text1"/>
          <w:kern w:val="24"/>
          <w:sz w:val="22"/>
          <w:szCs w:val="22"/>
        </w:rPr>
        <w:t xml:space="preserve">Nature </w:t>
      </w:r>
      <w:r w:rsidRPr="009B3C6B">
        <w:rPr>
          <w:rFonts w:asciiTheme="minorHAnsi" w:eastAsiaTheme="minorEastAsia" w:hAnsi="Calibri" w:cstheme="minorBidi"/>
          <w:b/>
          <w:bCs/>
          <w:strike/>
          <w:color w:val="000000" w:themeColor="text1"/>
          <w:kern w:val="24"/>
          <w:sz w:val="22"/>
          <w:szCs w:val="22"/>
        </w:rPr>
        <w:t>484</w:t>
      </w:r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:96–100 (2012)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="009B3C6B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Yash Kaul</w:t>
      </w:r>
    </w:p>
    <w:p w14:paraId="724D8B98" w14:textId="5A6DE71A" w:rsidR="00625758" w:rsidRPr="00E92DF4" w:rsidRDefault="00625758" w:rsidP="00E92DF4">
      <w:pPr>
        <w:pStyle w:val="NormalWeb"/>
        <w:spacing w:before="0" w:beforeAutospacing="0" w:afterAutospacing="0" w:line="204" w:lineRule="auto"/>
        <w:rPr>
          <w:sz w:val="22"/>
          <w:szCs w:val="22"/>
        </w:rPr>
      </w:pPr>
      <w:r w:rsidRPr="00F60BCF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13. Controllability</w:t>
      </w:r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 xml:space="preserve"> of complex networks, Y</w:t>
      </w:r>
      <w:r w:rsidR="00D41E1C"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.</w:t>
      </w:r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-Y</w:t>
      </w:r>
      <w:r w:rsidR="00D41E1C"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.</w:t>
      </w:r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 xml:space="preserve"> Liu, J</w:t>
      </w:r>
      <w:r w:rsidR="00D41E1C"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.</w:t>
      </w:r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-J</w:t>
      </w:r>
      <w:r w:rsidR="00D41E1C"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.</w:t>
      </w:r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Slotine</w:t>
      </w:r>
      <w:proofErr w:type="spellEnd"/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, A</w:t>
      </w:r>
      <w:r w:rsidR="00D41E1C"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.</w:t>
      </w:r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-L</w:t>
      </w:r>
      <w:r w:rsidR="00D41E1C"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.</w:t>
      </w:r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 xml:space="preserve"> Barabási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, </w:t>
      </w:r>
      <w:r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 xml:space="preserve">Nature </w:t>
      </w:r>
      <w:r w:rsidRPr="00E92DF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473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:167–173 (2011) </w:t>
      </w:r>
      <w:proofErr w:type="spellStart"/>
      <w:r w:rsidR="009B3C6B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Lianting</w:t>
      </w:r>
      <w:proofErr w:type="spellEnd"/>
      <w:r w:rsidR="009B3C6B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Wang</w:t>
      </w:r>
    </w:p>
    <w:p w14:paraId="23F12EAC" w14:textId="597E222B" w:rsidR="00625758" w:rsidRPr="00E92DF4" w:rsidRDefault="00625758" w:rsidP="00E92DF4">
      <w:pPr>
        <w:pStyle w:val="NormalWeb"/>
        <w:spacing w:before="0" w:beforeAutospacing="0" w:afterAutospacing="0" w:line="204" w:lineRule="auto"/>
        <w:rPr>
          <w:sz w:val="22"/>
          <w:szCs w:val="22"/>
        </w:rPr>
      </w:pP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14. Quantifying social group evolution, G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Palla, A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-L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. 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Barabási, T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Vicsek, </w:t>
      </w:r>
      <w:r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 xml:space="preserve">Nature </w:t>
      </w:r>
      <w:r w:rsidRPr="00E92DF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446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:664–667 (2007) </w:t>
      </w:r>
    </w:p>
    <w:p w14:paraId="7698380D" w14:textId="63CE3CCB" w:rsidR="00625758" w:rsidRPr="00E92DF4" w:rsidRDefault="00625758" w:rsidP="00E92DF4">
      <w:pPr>
        <w:pStyle w:val="NormalWeb"/>
        <w:spacing w:before="0" w:beforeAutospacing="0" w:afterAutospacing="0" w:line="204" w:lineRule="auto"/>
        <w:rPr>
          <w:sz w:val="22"/>
          <w:szCs w:val="22"/>
        </w:rPr>
      </w:pP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15. Limits of Human Mobility, C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Song, Z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Qu, N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Blumm, A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-L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Barabási, </w:t>
      </w:r>
      <w:r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 xml:space="preserve">Science </w:t>
      </w:r>
      <w:r w:rsidRPr="00E92DF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327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(5968):1018-1021 (2010) </w:t>
      </w:r>
    </w:p>
    <w:p w14:paraId="01046F0E" w14:textId="4505E453" w:rsidR="00625758" w:rsidRPr="00E92DF4" w:rsidRDefault="00625758" w:rsidP="00E92DF4">
      <w:pPr>
        <w:pStyle w:val="NormalWeb"/>
        <w:spacing w:before="0" w:beforeAutospacing="0" w:afterAutospacing="0" w:line="204" w:lineRule="auto"/>
        <w:rPr>
          <w:sz w:val="22"/>
          <w:szCs w:val="22"/>
          <w:lang w:val="pl-PL"/>
        </w:rPr>
      </w:pP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16. Understanding individual human mobility patterns, M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C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 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pl-PL"/>
        </w:rPr>
        <w:t>Gonzalez, C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pl-PL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pl-PL"/>
        </w:rPr>
        <w:t>A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pl-PL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pl-PL"/>
        </w:rPr>
        <w:t xml:space="preserve"> Hidalgo, A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pl-PL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pl-PL"/>
        </w:rPr>
        <w:t>-L</w:t>
      </w:r>
      <w:r w:rsidR="00D41E1C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pl-PL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pl-PL"/>
        </w:rPr>
        <w:t xml:space="preserve"> Barabasi, </w:t>
      </w:r>
      <w:r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  <w:lang w:val="pl-PL"/>
        </w:rPr>
        <w:t>Nature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pl-PL"/>
        </w:rPr>
        <w:t xml:space="preserve">, </w:t>
      </w:r>
      <w:r w:rsidRPr="00E92DF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  <w:lang w:val="pl-PL"/>
        </w:rPr>
        <w:t xml:space="preserve">453 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pl-PL"/>
        </w:rPr>
        <w:t>(7196):779—782 (2008)</w:t>
      </w:r>
      <w:r w:rsidR="00004B86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pl-PL"/>
        </w:rPr>
        <w:t xml:space="preserve"> </w:t>
      </w:r>
    </w:p>
    <w:p w14:paraId="22252F27" w14:textId="5A667503" w:rsidR="00625758" w:rsidRPr="00E92DF4" w:rsidRDefault="00625758" w:rsidP="00E92DF4">
      <w:pPr>
        <w:pStyle w:val="NormalWeb"/>
        <w:spacing w:before="0" w:beforeAutospacing="0" w:afterAutospacing="0" w:line="204" w:lineRule="auto"/>
        <w:rPr>
          <w:sz w:val="22"/>
          <w:szCs w:val="22"/>
        </w:rPr>
      </w:pPr>
      <w:r w:rsidRPr="0046387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17. The product space conditions the development of nations, C</w:t>
      </w:r>
      <w:r w:rsidR="00D41E1C" w:rsidRPr="0046387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46387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</w:t>
      </w:r>
      <w:r w:rsidR="00D41E1C" w:rsidRPr="0046387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46387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Hidalgo, B</w:t>
      </w:r>
      <w:r w:rsidR="00D41E1C" w:rsidRPr="0046387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46387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Klinger, A</w:t>
      </w:r>
      <w:r w:rsidR="00D41E1C" w:rsidRPr="0046387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46387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-L</w:t>
      </w:r>
      <w:r w:rsidR="00D41E1C" w:rsidRPr="0046387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46387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Barabási, R</w:t>
      </w:r>
      <w:r w:rsidR="00D41E1C" w:rsidRPr="0046387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46387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Hausmann, </w:t>
      </w:r>
      <w:r w:rsidRPr="0046387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 xml:space="preserve">Science </w:t>
      </w:r>
      <w:r w:rsidRPr="00463875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 xml:space="preserve">317 </w:t>
      </w:r>
      <w:r w:rsidRPr="0046387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(5837):482-487 (2007)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</w:p>
    <w:p w14:paraId="078EA516" w14:textId="1D154783" w:rsidR="00625758" w:rsidRPr="00463875" w:rsidRDefault="00625758" w:rsidP="00E92DF4">
      <w:pPr>
        <w:pStyle w:val="NormalWeb"/>
        <w:spacing w:before="0" w:beforeAutospacing="0" w:afterAutospacing="0" w:line="204" w:lineRule="auto"/>
        <w:rPr>
          <w:sz w:val="22"/>
          <w:szCs w:val="22"/>
        </w:rPr>
      </w:pPr>
      <w:r w:rsidRPr="00463875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18. Dynamics of ranking, G</w:t>
      </w:r>
      <w:r w:rsidR="00D41E1C" w:rsidRPr="00463875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.</w:t>
      </w:r>
      <w:r w:rsidRPr="00463875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 xml:space="preserve"> Iniguez, C</w:t>
      </w:r>
      <w:r w:rsidR="00D41E1C" w:rsidRPr="00463875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.</w:t>
      </w:r>
      <w:r w:rsidRPr="00463875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 xml:space="preserve"> Pineda, C</w:t>
      </w:r>
      <w:r w:rsidR="0042277B" w:rsidRPr="00463875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.</w:t>
      </w:r>
      <w:r w:rsidRPr="00463875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 xml:space="preserve"> Gershenson, A</w:t>
      </w:r>
      <w:r w:rsidR="0042277B" w:rsidRPr="00463875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.</w:t>
      </w:r>
      <w:r w:rsidRPr="00463875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-L</w:t>
      </w:r>
      <w:r w:rsidR="0042277B" w:rsidRPr="00463875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.</w:t>
      </w:r>
      <w:r w:rsidRPr="00463875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 xml:space="preserve"> Barabási, </w:t>
      </w:r>
      <w:r w:rsidRPr="00463875">
        <w:rPr>
          <w:rFonts w:asciiTheme="minorHAnsi" w:eastAsiaTheme="minorEastAsia" w:hAnsi="Calibri" w:cstheme="minorBidi"/>
          <w:i/>
          <w:iCs/>
          <w:strike/>
          <w:color w:val="000000" w:themeColor="text1"/>
          <w:kern w:val="24"/>
          <w:sz w:val="22"/>
          <w:szCs w:val="22"/>
        </w:rPr>
        <w:t xml:space="preserve">Nat Comm </w:t>
      </w:r>
      <w:r w:rsidRPr="00463875">
        <w:rPr>
          <w:rFonts w:asciiTheme="minorHAnsi" w:eastAsiaTheme="minorEastAsia" w:hAnsi="Calibri" w:cstheme="minorBidi"/>
          <w:b/>
          <w:bCs/>
          <w:strike/>
          <w:color w:val="000000" w:themeColor="text1"/>
          <w:kern w:val="24"/>
          <w:sz w:val="22"/>
          <w:szCs w:val="22"/>
        </w:rPr>
        <w:t xml:space="preserve">13 </w:t>
      </w:r>
      <w:r w:rsidRPr="00463875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(7):1-7 (2022)</w:t>
      </w:r>
      <w:r w:rsidRPr="0046387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="00463875" w:rsidRPr="0046387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Tom Song</w:t>
      </w:r>
    </w:p>
    <w:p w14:paraId="3DAFB3D4" w14:textId="497835EC" w:rsidR="006D5EB7" w:rsidRPr="00E92DF4" w:rsidRDefault="00625758" w:rsidP="00E92DF4">
      <w:pPr>
        <w:pStyle w:val="NormalWeb"/>
        <w:spacing w:before="0" w:beforeAutospacing="0" w:afterAutospacing="0" w:line="204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19. </w:t>
      </w:r>
      <w:r w:rsidR="00561DCA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Polarization and tipping points, M</w:t>
      </w:r>
      <w:r w:rsidR="0042277B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="00561DCA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W. Macy, M</w:t>
      </w:r>
      <w:r w:rsidR="0042277B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="00561DCA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Ma, D</w:t>
      </w:r>
      <w:r w:rsidR="0042277B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="00561DCA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R. Tabin, J</w:t>
      </w:r>
      <w:r w:rsidR="0042277B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="00561DCA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Gao, and B</w:t>
      </w:r>
      <w:r w:rsidR="0042277B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="00561DCA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K. Szymanski, </w:t>
      </w:r>
      <w:r w:rsidR="00561DCA"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>Proc</w:t>
      </w:r>
      <w:r w:rsidR="0042277B"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 xml:space="preserve">. </w:t>
      </w:r>
      <w:r w:rsidR="00561DCA"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>the Nat</w:t>
      </w:r>
      <w:r w:rsidR="0042277B"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>.</w:t>
      </w:r>
      <w:r w:rsidR="00561DCA"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 xml:space="preserve"> Acad</w:t>
      </w:r>
      <w:r w:rsidR="0042277B"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>.</w:t>
      </w:r>
      <w:r w:rsidR="00561DCA"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 xml:space="preserve"> </w:t>
      </w:r>
      <w:r w:rsidR="0042277B"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>O</w:t>
      </w:r>
      <w:r w:rsidR="00561DCA"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>f</w:t>
      </w:r>
      <w:r w:rsidR="0042277B"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 xml:space="preserve"> </w:t>
      </w:r>
      <w:r w:rsidR="00561DCA"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>Sci</w:t>
      </w:r>
      <w:r w:rsidR="0042277B"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>.</w:t>
      </w:r>
      <w:r w:rsidR="00561DCA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="00561DCA" w:rsidRPr="00E92DF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118</w:t>
      </w:r>
      <w:r w:rsidR="00561DCA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(50):e2102144118, (2021);</w:t>
      </w:r>
      <w:r w:rsidR="008D33EA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</w:p>
    <w:p w14:paraId="656EB72D" w14:textId="3CF2B078" w:rsidR="00625758" w:rsidRPr="00E92DF4" w:rsidRDefault="00625758" w:rsidP="00E92DF4">
      <w:pPr>
        <w:pStyle w:val="NormalWeb"/>
        <w:spacing w:before="0" w:beforeAutospacing="0" w:afterAutospacing="0" w:line="204" w:lineRule="auto"/>
        <w:rPr>
          <w:sz w:val="22"/>
          <w:szCs w:val="22"/>
        </w:rPr>
      </w:pP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2</w:t>
      </w:r>
      <w:r w:rsidR="00EA3557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0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 The increasing dominance of teams in production of knowledge, S</w:t>
      </w:r>
      <w:r w:rsidR="0042277B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Wuchty</w:t>
      </w:r>
      <w:proofErr w:type="spellEnd"/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, B</w:t>
      </w:r>
      <w:r w:rsidR="0042277B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F. Jones, B</w:t>
      </w:r>
      <w:r w:rsidR="0042277B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Uzzi, </w:t>
      </w:r>
      <w:r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>Science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, </w:t>
      </w:r>
      <w:r w:rsidRPr="00E92DF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316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(5827):1036-</w:t>
      </w:r>
      <w:r w:rsidR="003D3854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10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39 (2007)</w:t>
      </w:r>
    </w:p>
    <w:p w14:paraId="63761C83" w14:textId="6513F3AE" w:rsidR="00625758" w:rsidRPr="00E92DF4" w:rsidRDefault="00625758" w:rsidP="00E92DF4">
      <w:pPr>
        <w:pStyle w:val="NormalWeb"/>
        <w:spacing w:before="0" w:beforeAutospacing="0" w:afterAutospacing="0" w:line="204" w:lineRule="auto"/>
        <w:rPr>
          <w:sz w:val="22"/>
          <w:szCs w:val="22"/>
        </w:rPr>
      </w:pP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2</w:t>
      </w:r>
      <w:r w:rsidR="00EA3557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1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 Polarized information ecosystems can reorganize social networks via information cascades, C</w:t>
      </w:r>
      <w:r w:rsidR="0042277B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K. Tokita, A</w:t>
      </w:r>
      <w:r w:rsidR="0042277B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M. Guess, Corina E. </w:t>
      </w:r>
      <w:proofErr w:type="spellStart"/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Tarnita</w:t>
      </w:r>
      <w:proofErr w:type="spellEnd"/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,</w:t>
      </w:r>
      <w:r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 xml:space="preserve"> Proc. the Nat. Acad. of Sci., </w:t>
      </w:r>
      <w:r w:rsidRPr="00E92DF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118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(50):e2102147118, (2021)</w:t>
      </w:r>
      <w:r w:rsidR="00142346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</w:p>
    <w:p w14:paraId="162A3969" w14:textId="7FFC6907" w:rsidR="00EA3557" w:rsidRPr="00E92DF4" w:rsidRDefault="00EA3557" w:rsidP="00E92DF4">
      <w:pPr>
        <w:pStyle w:val="NormalWeb"/>
        <w:spacing w:before="0" w:beforeAutospacing="0" w:afterAutospacing="0" w:line="204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22. Political polarization of news media and influencers on Twitter in the 2016 and 2020 US presidential elections, J</w:t>
      </w:r>
      <w:r w:rsidR="0042277B"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.</w:t>
      </w:r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 xml:space="preserve"> Flamino,</w:t>
      </w:r>
      <w:r w:rsidR="0042277B"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 xml:space="preserve"> </w:t>
      </w:r>
      <w:r w:rsidR="007E0BFB"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 xml:space="preserve">et. al., </w:t>
      </w:r>
      <w:r w:rsidR="0042277B"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 xml:space="preserve">and </w:t>
      </w:r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B</w:t>
      </w:r>
      <w:r w:rsidR="0042277B"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.</w:t>
      </w:r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K. Szymanski, Nat</w:t>
      </w:r>
      <w:r w:rsidR="0042277B"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.</w:t>
      </w:r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 xml:space="preserve"> Hum</w:t>
      </w:r>
      <w:r w:rsidR="0042277B"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.</w:t>
      </w:r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Behav</w:t>
      </w:r>
      <w:proofErr w:type="spellEnd"/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 xml:space="preserve"> 7, Mar</w:t>
      </w:r>
      <w:r w:rsidR="007E0BFB"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.</w:t>
      </w:r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 xml:space="preserve"> 13</w:t>
      </w:r>
      <w:r w:rsidR="00203268"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 xml:space="preserve"> </w:t>
      </w:r>
      <w:r w:rsidR="007E0BFB"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(</w:t>
      </w:r>
      <w:r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2023</w:t>
      </w:r>
      <w:r w:rsidR="007E0BFB"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)</w:t>
      </w:r>
      <w:r w:rsidR="009B3C6B" w:rsidRPr="009B3C6B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,</w:t>
      </w:r>
      <w:r w:rsidR="009B3C6B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Tiziana Hernande</w:t>
      </w:r>
    </w:p>
    <w:p w14:paraId="4510ED0D" w14:textId="716BE30B" w:rsidR="00FA76B2" w:rsidRPr="00E92DF4" w:rsidRDefault="00625758" w:rsidP="00E92DF4">
      <w:pPr>
        <w:pStyle w:val="NormalWeb"/>
        <w:spacing w:before="0" w:beforeAutospacing="0" w:afterAutospacing="0" w:line="204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2</w:t>
      </w:r>
      <w:r w:rsidR="00EA3557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3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 Creation, Evolution, and Dissolution of Social Groups, J</w:t>
      </w:r>
      <w:r w:rsidR="0042277B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Flamino, B</w:t>
      </w:r>
      <w:r w:rsidR="0042277B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K. Szymanski, </w:t>
      </w:r>
      <w:r w:rsidR="0042277B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et. al.,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="0042277B"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>Nat.</w:t>
      </w:r>
      <w:r w:rsidR="0042277B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>Sci</w:t>
      </w:r>
      <w:r w:rsidR="0042277B"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 xml:space="preserve"> Rep</w:t>
      </w:r>
      <w:r w:rsidR="0042277B"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>.</w:t>
      </w:r>
      <w:r w:rsidRPr="00E92D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 xml:space="preserve"> </w:t>
      </w:r>
      <w:r w:rsidRPr="00E92DF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11</w:t>
      </w: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:17470, (2021</w:t>
      </w:r>
      <w:r w:rsidR="00561DCA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)</w:t>
      </w:r>
    </w:p>
    <w:p w14:paraId="2E065750" w14:textId="073D8E34" w:rsidR="0042277B" w:rsidRDefault="0042277B" w:rsidP="00E92DF4">
      <w:pPr>
        <w:pStyle w:val="NormalWeb"/>
        <w:spacing w:before="0" w:beforeAutospacing="0" w:afterAutospacing="0" w:line="204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lastRenderedPageBreak/>
        <w:t xml:space="preserve">24. </w:t>
      </w:r>
      <w:r w:rsidR="007E0BFB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Human interaction networks reveal that large cities facilitate segregation, H </w:t>
      </w:r>
      <w:proofErr w:type="spellStart"/>
      <w:r w:rsidR="007E0BFB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Nilforoshan</w:t>
      </w:r>
      <w:proofErr w:type="spellEnd"/>
      <w:r w:rsidR="007E0BFB" w:rsidRPr="00E92D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, et al. J. Leskovec, arXiv:2210.07414v1, Oct. 13 (2022)</w:t>
      </w:r>
    </w:p>
    <w:p w14:paraId="6EFEB761" w14:textId="3D633FEF" w:rsidR="004B0868" w:rsidRDefault="004B0868" w:rsidP="00E92DF4">
      <w:pPr>
        <w:pStyle w:val="NormalWeb"/>
        <w:spacing w:before="0" w:beforeAutospacing="0" w:afterAutospacing="0" w:line="204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 w:rsidRPr="004B0868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 xml:space="preserve">25. </w:t>
      </w:r>
      <w:r w:rsidRPr="004B0868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Tracing the chemical relationships between groups of molecules in Mars' meteorites to uncover their evolution</w:t>
      </w:r>
      <w:r w:rsidRPr="004B0868">
        <w:rPr>
          <w:rFonts w:asciiTheme="minorHAnsi" w:eastAsiaTheme="minorEastAsia" w:hAnsi="Calibri" w:cstheme="minorBidi"/>
          <w:strike/>
          <w:color w:val="000000" w:themeColor="text1"/>
          <w:kern w:val="24"/>
          <w:sz w:val="22"/>
          <w:szCs w:val="22"/>
        </w:rPr>
        <w:t>, individual topic</w:t>
      </w:r>
      <w:r w:rsidRPr="004B086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Pr="004B086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Elly A. Breves</w:t>
      </w:r>
    </w:p>
    <w:p w14:paraId="466D9625" w14:textId="77777777" w:rsidR="004B0868" w:rsidRDefault="004B0868" w:rsidP="00E92DF4">
      <w:pPr>
        <w:pStyle w:val="NormalWeb"/>
        <w:spacing w:before="0" w:beforeAutospacing="0" w:afterAutospacing="0" w:line="204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</w:p>
    <w:p w14:paraId="4A872794" w14:textId="77777777" w:rsidR="004B0868" w:rsidRPr="00E92DF4" w:rsidRDefault="004B0868" w:rsidP="00E92DF4">
      <w:pPr>
        <w:pStyle w:val="NormalWeb"/>
        <w:spacing w:before="0" w:beforeAutospacing="0" w:afterAutospacing="0" w:line="204" w:lineRule="auto"/>
        <w:rPr>
          <w:sz w:val="22"/>
          <w:szCs w:val="22"/>
        </w:rPr>
      </w:pPr>
    </w:p>
    <w:sectPr w:rsidR="004B0868" w:rsidRPr="00E92DF4" w:rsidSect="00A532D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78"/>
    <w:rsid w:val="00004B86"/>
    <w:rsid w:val="00075D1B"/>
    <w:rsid w:val="000D4977"/>
    <w:rsid w:val="00142346"/>
    <w:rsid w:val="00172278"/>
    <w:rsid w:val="00183778"/>
    <w:rsid w:val="001C18FE"/>
    <w:rsid w:val="00203268"/>
    <w:rsid w:val="002206EA"/>
    <w:rsid w:val="002827E2"/>
    <w:rsid w:val="002D2C78"/>
    <w:rsid w:val="002F30CF"/>
    <w:rsid w:val="00326C01"/>
    <w:rsid w:val="00397FF6"/>
    <w:rsid w:val="003D3854"/>
    <w:rsid w:val="0042277B"/>
    <w:rsid w:val="004364D1"/>
    <w:rsid w:val="00463875"/>
    <w:rsid w:val="004B0868"/>
    <w:rsid w:val="00561DCA"/>
    <w:rsid w:val="005E297D"/>
    <w:rsid w:val="00625758"/>
    <w:rsid w:val="006806AC"/>
    <w:rsid w:val="006D0A67"/>
    <w:rsid w:val="006D3178"/>
    <w:rsid w:val="006D5EB7"/>
    <w:rsid w:val="007342FA"/>
    <w:rsid w:val="007E0BFB"/>
    <w:rsid w:val="007E13C3"/>
    <w:rsid w:val="00866BA3"/>
    <w:rsid w:val="00882D02"/>
    <w:rsid w:val="008D33EA"/>
    <w:rsid w:val="00925E38"/>
    <w:rsid w:val="00932FEA"/>
    <w:rsid w:val="009B3C6B"/>
    <w:rsid w:val="009E6ADA"/>
    <w:rsid w:val="00A532D2"/>
    <w:rsid w:val="00A950C4"/>
    <w:rsid w:val="00AC2A94"/>
    <w:rsid w:val="00C36CB3"/>
    <w:rsid w:val="00CD1D42"/>
    <w:rsid w:val="00D41E1C"/>
    <w:rsid w:val="00D767A0"/>
    <w:rsid w:val="00D93E88"/>
    <w:rsid w:val="00E92DF4"/>
    <w:rsid w:val="00EA3557"/>
    <w:rsid w:val="00EB461E"/>
    <w:rsid w:val="00EE4C19"/>
    <w:rsid w:val="00F362E8"/>
    <w:rsid w:val="00F60BCF"/>
    <w:rsid w:val="00F90FAD"/>
    <w:rsid w:val="00FA76B2"/>
    <w:rsid w:val="00FD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D5351"/>
  <w15:chartTrackingRefBased/>
  <w15:docId w15:val="{A05F8483-3A5D-4A4D-B85D-0CEEF1B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line-1100">
    <w:name w:val="contentline-1100"/>
    <w:basedOn w:val="DefaultParagraphFont"/>
    <w:rsid w:val="00EA3557"/>
  </w:style>
  <w:style w:type="character" w:styleId="Hyperlink">
    <w:name w:val="Hyperlink"/>
    <w:basedOn w:val="DefaultParagraphFont"/>
    <w:uiPriority w:val="99"/>
    <w:unhideWhenUsed/>
    <w:rsid w:val="00EA35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557"/>
    <w:rPr>
      <w:color w:val="605E5C"/>
      <w:shd w:val="clear" w:color="auto" w:fill="E1DFDD"/>
    </w:rPr>
  </w:style>
  <w:style w:type="character" w:customStyle="1" w:styleId="ozzzk">
    <w:name w:val="ozzzk"/>
    <w:basedOn w:val="DefaultParagraphFont"/>
    <w:rsid w:val="00EB4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524</Words>
  <Characters>3071</Characters>
  <Application>Microsoft Office Word</Application>
  <DocSecurity>0</DocSecurity>
  <Lines>49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Szymanski, Bolek</dc:creator>
  <cp:keywords/>
  <dc:description/>
  <cp:lastModifiedBy>Szymanski, Bolek</cp:lastModifiedBy>
  <cp:revision>5</cp:revision>
  <dcterms:created xsi:type="dcterms:W3CDTF">2024-09-18T13:51:00Z</dcterms:created>
  <dcterms:modified xsi:type="dcterms:W3CDTF">2024-09-27T10:47:00Z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a45b09eff114399aa240a59c56cde3101661c880376a0b45d514de094bc0a138</vt:lpwstr>
  </property>
</Properties>
</file>